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342BF"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 w14:paraId="0B0D910A">
      <w:pPr>
        <w:widowControl/>
        <w:spacing w:line="580" w:lineRule="exact"/>
        <w:jc w:val="center"/>
        <w:rPr>
          <w:rFonts w:cs="仿宋" w:asciiTheme="majorEastAsia" w:hAnsiTheme="majorEastAsia" w:eastAsiaTheme="majorEastAsia"/>
          <w:sz w:val="44"/>
          <w:szCs w:val="44"/>
        </w:rPr>
      </w:pPr>
      <w:r>
        <w:rPr>
          <w:rFonts w:hint="eastAsia" w:cs="仿宋" w:asciiTheme="majorEastAsia" w:hAnsiTheme="majorEastAsia" w:eastAsiaTheme="majorEastAsia"/>
          <w:sz w:val="44"/>
          <w:szCs w:val="44"/>
        </w:rPr>
        <w:t>《监理从业人员培训系列教材》</w:t>
      </w:r>
    </w:p>
    <w:p w14:paraId="35B9D62D">
      <w:pPr>
        <w:widowControl/>
        <w:spacing w:line="580" w:lineRule="exact"/>
        <w:jc w:val="center"/>
        <w:rPr>
          <w:rFonts w:cs="仿宋" w:asciiTheme="majorEastAsia" w:hAnsiTheme="majorEastAsia" w:eastAsiaTheme="majorEastAsia"/>
          <w:sz w:val="44"/>
          <w:szCs w:val="44"/>
        </w:rPr>
      </w:pPr>
    </w:p>
    <w:p w14:paraId="03446A52">
      <w:pPr>
        <w:widowControl/>
        <w:spacing w:line="58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第一册《监理从业人员通用基础知识》</w:t>
      </w:r>
    </w:p>
    <w:p w14:paraId="73DF0406">
      <w:pPr>
        <w:widowControl/>
        <w:spacing w:line="58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第1章建设工程监理概述</w:t>
      </w:r>
    </w:p>
    <w:p w14:paraId="26992EF5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1.1监理制度起源与发展</w:t>
      </w:r>
    </w:p>
    <w:p w14:paraId="7055BB5F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1.2监理工作性质、地位与作用</w:t>
      </w:r>
      <w:bookmarkStart w:id="0" w:name="_GoBack"/>
      <w:bookmarkEnd w:id="0"/>
    </w:p>
    <w:p w14:paraId="11FD7B4C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1.3监理行业管理与执业要求</w:t>
      </w:r>
    </w:p>
    <w:p w14:paraId="4E2DB15D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1.4监理与建设、施工、设计、勘察等单位关系</w:t>
      </w:r>
    </w:p>
    <w:p w14:paraId="3892A69C">
      <w:pPr>
        <w:widowControl/>
        <w:spacing w:line="58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第2章工程建设基本程序与管理体系</w:t>
      </w:r>
    </w:p>
    <w:p w14:paraId="35438C18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2.1项目建设全过程：立项→勘察→设计→施工→验收→归档</w:t>
      </w:r>
    </w:p>
    <w:p w14:paraId="5CFB3865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2.2基本建设程序与监理介入节点</w:t>
      </w:r>
    </w:p>
    <w:p w14:paraId="3AED2336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2.3工程建设标准体系与强制性条文</w:t>
      </w:r>
    </w:p>
    <w:p w14:paraId="16BDE0AA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2.4工程质量管理、安全管理、进度管理体系</w:t>
      </w:r>
    </w:p>
    <w:p w14:paraId="5A9488EA">
      <w:pPr>
        <w:widowControl/>
        <w:spacing w:line="58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第3章建设工程法律法规基础</w:t>
      </w:r>
    </w:p>
    <w:p w14:paraId="0670BCD1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3.1《建筑法》《建设工程质量管理条例》《安全生产法》核心要点</w:t>
      </w:r>
    </w:p>
    <w:p w14:paraId="1F23BDC9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3.2工程招投标与合同管理法律基础</w:t>
      </w:r>
    </w:p>
    <w:p w14:paraId="230B9D52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3.3工程监理相关法规、规章与规范性文件</w:t>
      </w:r>
    </w:p>
    <w:p w14:paraId="37FA8515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3.4工程责任与追责基本逻辑</w:t>
      </w:r>
    </w:p>
    <w:p w14:paraId="18F6AEBC">
      <w:pPr>
        <w:widowControl/>
        <w:spacing w:line="58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第4章合同与造价管理基础</w:t>
      </w:r>
    </w:p>
    <w:p w14:paraId="4112B6CE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4.1建设工程合同类型与主要内容</w:t>
      </w:r>
    </w:p>
    <w:p w14:paraId="691F9838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4.2监理在合同管理中的职责</w:t>
      </w:r>
    </w:p>
    <w:p w14:paraId="3D213F80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4.3工程量清单、计量与支付基础</w:t>
      </w:r>
    </w:p>
    <w:p w14:paraId="1483AF16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4.4变更、签证、索赔基本概念</w:t>
      </w:r>
    </w:p>
    <w:p w14:paraId="3DCCB57F">
      <w:pPr>
        <w:widowControl/>
        <w:spacing w:line="58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第5章施工技术与质量基础</w:t>
      </w:r>
    </w:p>
    <w:p w14:paraId="0E8CFB8A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5.1建筑结构、地基基础基本知识</w:t>
      </w:r>
    </w:p>
    <w:p w14:paraId="28A6B8EB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5.2常用建筑材料与质量控制要点</w:t>
      </w:r>
    </w:p>
    <w:p w14:paraId="59177F9F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5.3施工测量、试验、检测基础</w:t>
      </w:r>
    </w:p>
    <w:p w14:paraId="1EAC2E5B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5.4分部分项工程质量验收基本要求</w:t>
      </w:r>
    </w:p>
    <w:p w14:paraId="5637BD6E">
      <w:pPr>
        <w:widowControl/>
        <w:spacing w:line="58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第6章工程安全管理基础</w:t>
      </w:r>
    </w:p>
    <w:p w14:paraId="019796DB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6.1安全生产基本概念与方针</w:t>
      </w:r>
    </w:p>
    <w:p w14:paraId="208B5D34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6.2施工现场危险源识别基础</w:t>
      </w:r>
    </w:p>
    <w:p w14:paraId="6BA290DB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6.3安全技术措施与专项方案基本知识</w:t>
      </w:r>
    </w:p>
    <w:p w14:paraId="47822312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6.4安全教育、检查、隐患整改基础</w:t>
      </w:r>
    </w:p>
    <w:p w14:paraId="11FA0757">
      <w:pPr>
        <w:widowControl/>
        <w:spacing w:line="58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第7章监理工作内容与工作流程</w:t>
      </w:r>
    </w:p>
    <w:p w14:paraId="5C4F54F9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7.1监理工作“三控三管一协调”</w:t>
      </w:r>
    </w:p>
    <w:p w14:paraId="14DCC2A0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7.2监理规划、监理实施细则编制</w:t>
      </w:r>
    </w:p>
    <w:p w14:paraId="10403167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7.3图纸会审、施工组织设计审查</w:t>
      </w:r>
    </w:p>
    <w:p w14:paraId="35AF4FDA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7.4旁站、巡视、平行检验工作要求</w:t>
      </w:r>
    </w:p>
    <w:p w14:paraId="0D7B66D9">
      <w:pPr>
        <w:widowControl/>
        <w:spacing w:line="58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第8章监理资料与文档管理</w:t>
      </w:r>
    </w:p>
    <w:p w14:paraId="1111DF2B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8.1监理资料分类与组成</w:t>
      </w:r>
    </w:p>
    <w:p w14:paraId="11FA8122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8.2监理日志、月报、通知单、联系单、例会纪要</w:t>
      </w:r>
    </w:p>
    <w:p w14:paraId="7928F8AF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8.3验收资料与竣工归档要求</w:t>
      </w:r>
    </w:p>
    <w:p w14:paraId="1F76A887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8.4资料常见问题与风险点</w:t>
      </w:r>
    </w:p>
    <w:p w14:paraId="7330A0B5">
      <w:pPr>
        <w:widowControl/>
        <w:spacing w:line="58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第9章职业道德与执业行为规范</w:t>
      </w:r>
    </w:p>
    <w:p w14:paraId="36EC5561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9.1监理职业道德准则</w:t>
      </w:r>
    </w:p>
    <w:p w14:paraId="5061C02E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9.2廉洁从业与风险防范</w:t>
      </w:r>
    </w:p>
    <w:p w14:paraId="354DDFC7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9.3沟通协调能力与现场工作方法</w:t>
      </w:r>
    </w:p>
    <w:p w14:paraId="079481BD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9.4监理职业发展路径</w:t>
      </w:r>
    </w:p>
    <w:p w14:paraId="1BB090D8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</w:p>
    <w:p w14:paraId="15A90D54">
      <w:pPr>
        <w:widowControl/>
        <w:spacing w:line="58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第二册《监理从业人员专业监理实务》</w:t>
      </w:r>
    </w:p>
    <w:p w14:paraId="4A445083">
      <w:pPr>
        <w:widowControl/>
        <w:spacing w:line="58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第1章专业监理通用工作要求</w:t>
      </w:r>
    </w:p>
    <w:p w14:paraId="0BDD5E3C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1.1各专业监理共性工作流程</w:t>
      </w:r>
    </w:p>
    <w:p w14:paraId="1B82E8BF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1.2专业施工方案审查要点</w:t>
      </w:r>
    </w:p>
    <w:p w14:paraId="66D74C4D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1.3材料设备进场验收通用要求</w:t>
      </w:r>
    </w:p>
    <w:p w14:paraId="16F1A53D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1.4专业工程隐蔽验收、分部分项验收要点</w:t>
      </w:r>
    </w:p>
    <w:p w14:paraId="00665D2D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1.5专业常见质量通病与监理控制措施</w:t>
      </w:r>
    </w:p>
    <w:p w14:paraId="718453DE">
      <w:pPr>
        <w:widowControl/>
        <w:spacing w:line="58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第2章房屋建筑工程监理实务</w:t>
      </w:r>
    </w:p>
    <w:p w14:paraId="24486731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2.1房建工程特点与监理重点</w:t>
      </w:r>
    </w:p>
    <w:p w14:paraId="59DA8668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2.2地基基础工程监理（基坑、桩基、地基处理）</w:t>
      </w:r>
    </w:p>
    <w:p w14:paraId="318E54CD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2.3主体结构工程监理（混凝土、钢筋、模板、砌体）</w:t>
      </w:r>
    </w:p>
    <w:p w14:paraId="537D3B80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2.4装饰装修工程监理</w:t>
      </w:r>
    </w:p>
    <w:p w14:paraId="3395A873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2.5屋面及防水工程监理</w:t>
      </w:r>
    </w:p>
    <w:p w14:paraId="4A9DA1F2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2.6房建常见质量安全问题与案例</w:t>
      </w:r>
    </w:p>
    <w:p w14:paraId="604ADB1D">
      <w:pPr>
        <w:widowControl/>
        <w:spacing w:line="58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第3章市政公用工程监理实务</w:t>
      </w:r>
    </w:p>
    <w:p w14:paraId="2CBE3806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3.1市政工程特点与监理重点</w:t>
      </w:r>
    </w:p>
    <w:p w14:paraId="2864EE59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3.2道路工程监理（路基、基层、面层）</w:t>
      </w:r>
    </w:p>
    <w:p w14:paraId="17D640CC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3.3桥梁、涵洞工程监理</w:t>
      </w:r>
    </w:p>
    <w:p w14:paraId="46B28183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3.4给排水管网工程监理</w:t>
      </w:r>
    </w:p>
    <w:p w14:paraId="727739CE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3.5燃气、热力管网工程监理</w:t>
      </w:r>
    </w:p>
    <w:p w14:paraId="124E1926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3.6市政工程现场安全与文明施工管控</w:t>
      </w:r>
    </w:p>
    <w:p w14:paraId="6DEF323F">
      <w:pPr>
        <w:widowControl/>
        <w:spacing w:line="58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第4章文物保护工程监理实务</w:t>
      </w:r>
    </w:p>
    <w:p w14:paraId="42A9EEAE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4.1文保工程特点、原则与法规要求</w:t>
      </w:r>
    </w:p>
    <w:p w14:paraId="699A1ECC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4.2古建筑修缮、遗址保护监理要点</w:t>
      </w:r>
    </w:p>
    <w:p w14:paraId="49DF6818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4.3文物工程施工工艺与质量控制</w:t>
      </w:r>
    </w:p>
    <w:p w14:paraId="7456ED3E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4.4文保工程安全、环境保护与现场管理</w:t>
      </w:r>
    </w:p>
    <w:p w14:paraId="34E2FFB5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4.5文保工程资料与验收特殊要求</w:t>
      </w:r>
    </w:p>
    <w:p w14:paraId="18843817">
      <w:pPr>
        <w:widowControl/>
        <w:spacing w:line="58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第5章电力工程监理实务</w:t>
      </w:r>
    </w:p>
    <w:p w14:paraId="3951D4D8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5.1电力工程分类与监理范围</w:t>
      </w:r>
    </w:p>
    <w:p w14:paraId="250844D0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5.2变电、配电工程监理要点</w:t>
      </w:r>
    </w:p>
    <w:p w14:paraId="0A9E6D7C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5.3线路工程（架空、电缆）监理</w:t>
      </w:r>
    </w:p>
    <w:p w14:paraId="45718DB0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5.4电力设备安装与调试监理</w:t>
      </w:r>
    </w:p>
    <w:p w14:paraId="5F74CCC1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5.5电力工程安全规范与强制性条文执行</w:t>
      </w:r>
    </w:p>
    <w:p w14:paraId="0A6D7E45">
      <w:pPr>
        <w:widowControl/>
        <w:spacing w:line="58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第6章通信工程监理实务</w:t>
      </w:r>
    </w:p>
    <w:p w14:paraId="238D110D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6.1通信工程特点与建设流程</w:t>
      </w:r>
    </w:p>
    <w:p w14:paraId="4E787A30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6.2通信管道、杆路、基站工程监理</w:t>
      </w:r>
    </w:p>
    <w:p w14:paraId="4439408C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6.3设备安装、调测监理要点</w:t>
      </w:r>
    </w:p>
    <w:p w14:paraId="5BC8EA1B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6.4通信工程安全、文明施工与成品保护</w:t>
      </w:r>
    </w:p>
    <w:p w14:paraId="0552CE9B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6.5通信工程验收与移交管理</w:t>
      </w:r>
    </w:p>
    <w:p w14:paraId="4E02D202">
      <w:pPr>
        <w:widowControl/>
        <w:spacing w:line="58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第7章机电安装工程监理实务</w:t>
      </w:r>
    </w:p>
    <w:p w14:paraId="2D1BDB76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7.1机电安装工程总体监理要求</w:t>
      </w:r>
    </w:p>
    <w:p w14:paraId="218B79CD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7.2给排水及采暖工程监理</w:t>
      </w:r>
    </w:p>
    <w:p w14:paraId="720CB54F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7.3建筑电气安装工程监理</w:t>
      </w:r>
    </w:p>
    <w:p w14:paraId="01AFA932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7.4通风与空调工程监理</w:t>
      </w:r>
    </w:p>
    <w:p w14:paraId="44152854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7.5消防工程监理</w:t>
      </w:r>
    </w:p>
    <w:p w14:paraId="5AF64B5D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7.6智能化、电梯等专业监理要点</w:t>
      </w:r>
    </w:p>
    <w:p w14:paraId="3A9D9EC6">
      <w:pPr>
        <w:widowControl/>
        <w:spacing w:line="58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第8章多专业交叉与综合管控</w:t>
      </w:r>
    </w:p>
    <w:p w14:paraId="07C072C3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8.1各专业界面协调要点</w:t>
      </w:r>
    </w:p>
    <w:p w14:paraId="2062D44A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8.2工序穿插与成品保护</w:t>
      </w:r>
    </w:p>
    <w:p w14:paraId="2DF1BE78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8.3综合验收与联合验收监理工作</w:t>
      </w:r>
    </w:p>
    <w:p w14:paraId="24A49789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8.4典型综合项目案例分析</w:t>
      </w:r>
    </w:p>
    <w:p w14:paraId="43D7AC87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</w:p>
    <w:p w14:paraId="250D83E1">
      <w:pPr>
        <w:widowControl/>
        <w:spacing w:line="58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第三册《监理履职安全边界与法律责任精解》</w:t>
      </w:r>
    </w:p>
    <w:p w14:paraId="309DADC9">
      <w:pPr>
        <w:widowControl/>
        <w:spacing w:line="58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第1章监理安全法定职责与法律体系</w:t>
      </w:r>
    </w:p>
    <w:p w14:paraId="598B1CE2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1.1安全生产相关法律法规框架</w:t>
      </w:r>
    </w:p>
    <w:p w14:paraId="2B5D89BD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1.2监理单位、总监理工程师、专业监理工程师、监理员安全职责</w:t>
      </w:r>
    </w:p>
    <w:p w14:paraId="4607DCA4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1.3法定必须做、禁止做、不得缺位的事项</w:t>
      </w:r>
    </w:p>
    <w:p w14:paraId="785FED55">
      <w:pPr>
        <w:widowControl/>
        <w:spacing w:line="58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第2章监理安全风险与责任追究</w:t>
      </w:r>
    </w:p>
    <w:p w14:paraId="15440F4A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2.1安全事故中监理常见追责情形</w:t>
      </w:r>
    </w:p>
    <w:p w14:paraId="11748CDB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2.2行政责任、刑事责任、民事责任区分</w:t>
      </w:r>
    </w:p>
    <w:p w14:paraId="49BDDD07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2.3典型事故案例中监理责任认定</w:t>
      </w:r>
    </w:p>
    <w:p w14:paraId="778CCE9C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2.4履职不到位典型表现与风险点</w:t>
      </w:r>
    </w:p>
    <w:p w14:paraId="72F35C3B">
      <w:pPr>
        <w:widowControl/>
        <w:spacing w:line="58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第3章施工安全方案审查监理实务</w:t>
      </w:r>
    </w:p>
    <w:p w14:paraId="53B615DE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3.1施工组织设计中安全内容审查</w:t>
      </w:r>
    </w:p>
    <w:p w14:paraId="1690A0F8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3.2危大工程专项施工方案审查要点</w:t>
      </w:r>
    </w:p>
    <w:p w14:paraId="36D589DC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3.3超过一定规模危大工程专家论证管理</w:t>
      </w:r>
    </w:p>
    <w:p w14:paraId="58A9F0C4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3.4方案与现场不一致的处置流程</w:t>
      </w:r>
    </w:p>
    <w:p w14:paraId="2A8F1CDB">
      <w:pPr>
        <w:widowControl/>
        <w:spacing w:line="58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第4章危大工程安全监理控制</w:t>
      </w:r>
    </w:p>
    <w:p w14:paraId="4B8A25DE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4.1深基坑工程安全监理</w:t>
      </w:r>
    </w:p>
    <w:p w14:paraId="152D2FC8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4.2模板支撑及高支模安全监理</w:t>
      </w:r>
    </w:p>
    <w:p w14:paraId="1A44D9B1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4.3起重吊装、塔吊、施工升降机安全监理</w:t>
      </w:r>
    </w:p>
    <w:p w14:paraId="0E59E357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4.4脚手架工程安全监理</w:t>
      </w:r>
    </w:p>
    <w:p w14:paraId="180CE5E5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4.5临时用电、有限空间、高处作业安全监理</w:t>
      </w:r>
    </w:p>
    <w:p w14:paraId="50C42F14">
      <w:pPr>
        <w:widowControl/>
        <w:spacing w:line="58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第5章施工现场安全日常管控</w:t>
      </w:r>
    </w:p>
    <w:p w14:paraId="3B4711F9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5.1安全巡视、检查、隐患排查要求</w:t>
      </w:r>
    </w:p>
    <w:p w14:paraId="6E9D8D5C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5.2安全隐患通知单、停工令签发与闭环</w:t>
      </w:r>
    </w:p>
    <w:p w14:paraId="7A608BDB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5.3安全教育、安全技术交底监理监督</w:t>
      </w:r>
    </w:p>
    <w:p w14:paraId="092B4CAA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5.4文明施工、扬尘、消防、临边洞口防护</w:t>
      </w:r>
    </w:p>
    <w:p w14:paraId="2B9D45CA">
      <w:pPr>
        <w:widowControl/>
        <w:spacing w:line="58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第6章监理安全资料与履职痕迹管理</w:t>
      </w:r>
    </w:p>
    <w:p w14:paraId="5146C821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6.1安全监理规划、安全监理细则</w:t>
      </w:r>
    </w:p>
    <w:p w14:paraId="3D2BD15B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6.2安全检查记录、隐患整改记录</w:t>
      </w:r>
    </w:p>
    <w:p w14:paraId="7F399DF1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6.3危大工程旁站、验收记录</w:t>
      </w:r>
    </w:p>
    <w:p w14:paraId="6732EB56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6.4会议纪要、通知、回复等履职证据留存</w:t>
      </w:r>
    </w:p>
    <w:p w14:paraId="4363C723">
      <w:pPr>
        <w:widowControl/>
        <w:spacing w:line="58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第7章安全事故应急与处置</w:t>
      </w:r>
    </w:p>
    <w:p w14:paraId="7720078D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7.1监理在应急预案中的职责</w:t>
      </w:r>
    </w:p>
    <w:p w14:paraId="79F29470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7.2事故报告、现场保护、配合调查</w:t>
      </w:r>
    </w:p>
    <w:p w14:paraId="0FE71051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7.3事故后复工条件核查</w:t>
      </w:r>
    </w:p>
    <w:p w14:paraId="2B46C929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7.4如何避免次生责任扩大</w:t>
      </w:r>
    </w:p>
    <w:p w14:paraId="232DE4C4">
      <w:pPr>
        <w:widowControl/>
        <w:spacing w:line="58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第8章监理安全履职合规与自我保护</w:t>
      </w:r>
    </w:p>
    <w:p w14:paraId="297E9D17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8.1履职“留痕、到位、不越位”原则</w:t>
      </w:r>
    </w:p>
    <w:p w14:paraId="78A140AD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8.2常见免责情形与证据要点</w:t>
      </w:r>
    </w:p>
    <w:p w14:paraId="42873FAD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8.3如何规范签字、发文、拒绝违规指令</w:t>
      </w:r>
    </w:p>
    <w:p w14:paraId="56F09B1D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8.4监理人员安全履职风险防范指南</w:t>
      </w:r>
    </w:p>
    <w:p w14:paraId="51F20393">
      <w:pPr>
        <w:widowControl/>
        <w:spacing w:line="58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第9章综合案例与责任复盘</w:t>
      </w:r>
    </w:p>
    <w:p w14:paraId="65F8D3A1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9.1典型房建/市政/机电安全事故案例</w:t>
      </w:r>
    </w:p>
    <w:p w14:paraId="41247FE0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9.2监理履职到位与不到位对比分析</w:t>
      </w:r>
    </w:p>
    <w:p w14:paraId="5C96653F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9.3责任认定关键证据与要点总结</w:t>
      </w:r>
    </w:p>
    <w:p w14:paraId="6889E096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</w:p>
    <w:p w14:paraId="34D381EC">
      <w:pPr>
        <w:widowControl/>
        <w:spacing w:line="58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第四册《监理资料闭环管理与合规性审查实务》</w:t>
      </w:r>
    </w:p>
    <w:p w14:paraId="6387E339">
      <w:pPr>
        <w:widowControl/>
        <w:spacing w:line="58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第1章建设工程监理资料概述</w:t>
      </w:r>
    </w:p>
    <w:p w14:paraId="369EC480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1.1监理资料的作用与重要性</w:t>
      </w:r>
    </w:p>
    <w:p w14:paraId="7645527C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1.2监理资料组成与分类</w:t>
      </w:r>
    </w:p>
    <w:p w14:paraId="74B5A267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1.3监理资料管理原则：真实、及时、完整、闭环</w:t>
      </w:r>
    </w:p>
    <w:p w14:paraId="57D76385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1.4资料与监理履职、责任追究的关系</w:t>
      </w:r>
    </w:p>
    <w:p w14:paraId="229ADF28">
      <w:pPr>
        <w:widowControl/>
        <w:spacing w:line="58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第2章监理资料管理基本要求</w:t>
      </w:r>
    </w:p>
    <w:p w14:paraId="0FCA594C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2.1资料填写基本规范（字迹、表格、用语、编号）</w:t>
      </w:r>
    </w:p>
    <w:p w14:paraId="6D42B86E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2.2电子资料与纸质资料管理要求</w:t>
      </w:r>
    </w:p>
    <w:p w14:paraId="636C7F07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2.3资料审签权限与流程</w:t>
      </w:r>
    </w:p>
    <w:p w14:paraId="7D589B4F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2.4资料常见错误与风险点</w:t>
      </w:r>
    </w:p>
    <w:p w14:paraId="61319F27">
      <w:pPr>
        <w:widowControl/>
        <w:spacing w:line="58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第3章施工准备阶段监理资料</w:t>
      </w:r>
    </w:p>
    <w:p w14:paraId="4013C332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3.1监理规划、监理实施细则编制与审签</w:t>
      </w:r>
    </w:p>
    <w:p w14:paraId="63766060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3.2图纸会审、设计交底记录</w:t>
      </w:r>
    </w:p>
    <w:p w14:paraId="32152BFA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3.3施工组织设计/专项方案审查资料</w:t>
      </w:r>
    </w:p>
    <w:p w14:paraId="40F5260A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3.4开工条件审查与开工报告</w:t>
      </w:r>
    </w:p>
    <w:p w14:paraId="7981CA6B">
      <w:pPr>
        <w:widowControl/>
        <w:spacing w:line="58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第4章施工过程监理日常资料</w:t>
      </w:r>
    </w:p>
    <w:p w14:paraId="04902447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4.1监理日志填写规范与要点</w:t>
      </w:r>
    </w:p>
    <w:p w14:paraId="4BD52A78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4.2监理月报编制要点</w:t>
      </w:r>
    </w:p>
    <w:p w14:paraId="10F239C0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4.3工地例会纪要与专题会议纪要</w:t>
      </w:r>
    </w:p>
    <w:p w14:paraId="23CC8918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4.4监理工作联系单、通知单、暂停令、复工令</w:t>
      </w:r>
    </w:p>
    <w:p w14:paraId="699533F1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4.5巡视、平行检验、旁站记录</w:t>
      </w:r>
    </w:p>
    <w:p w14:paraId="1B01530F">
      <w:pPr>
        <w:widowControl/>
        <w:spacing w:line="58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第5章质量控制资料填写实务</w:t>
      </w:r>
    </w:p>
    <w:p w14:paraId="0ECD4BF8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5.1材料、构配件、设备进场验收资料</w:t>
      </w:r>
    </w:p>
    <w:p w14:paraId="60EE255D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5.2试验检测见证取样记录</w:t>
      </w:r>
    </w:p>
    <w:p w14:paraId="4D7C945E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5.3隐蔽工程验收记录</w:t>
      </w:r>
    </w:p>
    <w:p w14:paraId="0943DC86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5.4分部分项工程验收资料</w:t>
      </w:r>
    </w:p>
    <w:p w14:paraId="29744C8B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5.5质量问题整改与闭环资料</w:t>
      </w:r>
    </w:p>
    <w:p w14:paraId="5E33FA28">
      <w:pPr>
        <w:widowControl/>
        <w:spacing w:line="58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第6章安全履职监理资料填写实务</w:t>
      </w:r>
    </w:p>
    <w:p w14:paraId="155F119A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6.1安全履职监理规划、安全履职监理细则</w:t>
      </w:r>
    </w:p>
    <w:p w14:paraId="1731703C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6.2危大工程专项方案审查记录</w:t>
      </w:r>
    </w:p>
    <w:p w14:paraId="60F9BE1E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6.3安全检查、隐患排查、整改闭环</w:t>
      </w:r>
    </w:p>
    <w:p w14:paraId="20A663B8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6.4危大工程旁站及验收资料</w:t>
      </w:r>
    </w:p>
    <w:p w14:paraId="3DDF1947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6.5安全生产教育培训、技术交底监督资料</w:t>
      </w:r>
    </w:p>
    <w:p w14:paraId="7DE8DDB3">
      <w:pPr>
        <w:widowControl/>
        <w:spacing w:line="58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第7章造价、进度、合同管理资料</w:t>
      </w:r>
    </w:p>
    <w:p w14:paraId="7E15DF7C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7.1工程计量与支付审查资料</w:t>
      </w:r>
    </w:p>
    <w:p w14:paraId="13EC3457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7.2工程变更、签证资料填写与审签</w:t>
      </w:r>
    </w:p>
    <w:p w14:paraId="1875BC03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7.3进度计划、进度偏差分析资料</w:t>
      </w:r>
    </w:p>
    <w:p w14:paraId="0C4FC0E1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7.4合同管理、索赔相关资料</w:t>
      </w:r>
    </w:p>
    <w:p w14:paraId="4A75DA8B">
      <w:pPr>
        <w:widowControl/>
        <w:spacing w:line="58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第8章监理资料审签要点与风险控制</w:t>
      </w:r>
    </w:p>
    <w:p w14:paraId="4B642E9A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8.1各类资料签字权限与责任</w:t>
      </w:r>
    </w:p>
    <w:p w14:paraId="26154D69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8.2哪些字不能签、哪些字必须签</w:t>
      </w:r>
    </w:p>
    <w:p w14:paraId="7D0E0751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8.3签字前必查内容</w:t>
      </w:r>
    </w:p>
    <w:p w14:paraId="5BAD84CD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8.4资料补填、后补、涂改的风险与规避</w:t>
      </w:r>
    </w:p>
    <w:p w14:paraId="111C1B7C">
      <w:pPr>
        <w:widowControl/>
        <w:spacing w:line="58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第9章监理资料组卷、归档与移交</w:t>
      </w:r>
    </w:p>
    <w:p w14:paraId="259939F8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9.1归档范围与保管期限</w:t>
      </w:r>
    </w:p>
    <w:p w14:paraId="0390B381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9.2组卷原则、顺序、编号</w:t>
      </w:r>
    </w:p>
    <w:p w14:paraId="327B4D58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9.3案卷封面、目录、备考表填写</w:t>
      </w:r>
    </w:p>
    <w:p w14:paraId="25B04600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9.4建设单位、档案馆移交要求</w:t>
      </w:r>
    </w:p>
    <w:p w14:paraId="455706FC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9.5项目竣工归档常见问题与整改</w:t>
      </w:r>
    </w:p>
    <w:p w14:paraId="7DCBACC2">
      <w:pPr>
        <w:widowControl/>
        <w:spacing w:line="58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第10章典型问题与案例</w:t>
      </w:r>
    </w:p>
    <w:p w14:paraId="1232A317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10.1资料不闭合导致追责案例</w:t>
      </w:r>
    </w:p>
    <w:p w14:paraId="3DFEABD6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10.2签字混乱、资料缺失典型问题</w:t>
      </w:r>
    </w:p>
    <w:p w14:paraId="6DF6DDC9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10.3迎检、稽查、审计中资料常见不合格项</w:t>
      </w:r>
    </w:p>
    <w:p w14:paraId="71242838">
      <w:pPr>
        <w:widowControl/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10.4高质量监理资料示范要点</w:t>
      </w:r>
    </w:p>
    <w:p w14:paraId="689B8D2F"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 w14:paraId="196620E8">
      <w:pPr>
        <w:widowControl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附件2</w:t>
      </w:r>
    </w:p>
    <w:p w14:paraId="5524CCF5">
      <w:pPr>
        <w:spacing w:line="600" w:lineRule="exact"/>
        <w:jc w:val="center"/>
        <w:rPr>
          <w:rFonts w:ascii="宋体" w:hAnsi="宋体"/>
          <w:bCs/>
          <w:spacing w:val="8"/>
          <w:sz w:val="36"/>
          <w:szCs w:val="36"/>
        </w:rPr>
      </w:pPr>
      <w:r>
        <w:rPr>
          <w:rFonts w:hint="eastAsia" w:ascii="宋体" w:hAnsi="宋体"/>
          <w:bCs/>
          <w:spacing w:val="8"/>
          <w:sz w:val="36"/>
          <w:szCs w:val="36"/>
        </w:rPr>
        <w:t>福建省工程监理与项目管理协会</w:t>
      </w:r>
    </w:p>
    <w:p w14:paraId="2F00483B">
      <w:pPr>
        <w:widowControl/>
        <w:jc w:val="center"/>
        <w:rPr>
          <w:rFonts w:ascii="宋体" w:hAnsi="宋体"/>
          <w:bCs/>
          <w:spacing w:val="8"/>
          <w:sz w:val="36"/>
          <w:szCs w:val="36"/>
        </w:rPr>
      </w:pPr>
      <w:r>
        <w:rPr>
          <w:rFonts w:hint="eastAsia" w:ascii="宋体" w:hAnsi="宋体"/>
          <w:bCs/>
          <w:spacing w:val="8"/>
          <w:sz w:val="36"/>
          <w:szCs w:val="36"/>
        </w:rPr>
        <w:t>课题参研申请表</w:t>
      </w:r>
    </w:p>
    <w:p w14:paraId="647E008D">
      <w:pPr>
        <w:widowControl/>
        <w:spacing w:line="240" w:lineRule="exact"/>
        <w:jc w:val="center"/>
        <w:rPr>
          <w:rFonts w:ascii="仿宋" w:hAnsi="仿宋" w:eastAsia="仿宋" w:cs="宋体"/>
          <w:bCs/>
          <w:spacing w:val="6"/>
          <w:sz w:val="36"/>
          <w:szCs w:val="36"/>
        </w:rPr>
      </w:pPr>
    </w:p>
    <w:tbl>
      <w:tblPr>
        <w:tblStyle w:val="8"/>
        <w:tblW w:w="9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1884"/>
        <w:gridCol w:w="992"/>
        <w:gridCol w:w="1417"/>
        <w:gridCol w:w="1379"/>
        <w:gridCol w:w="1609"/>
      </w:tblGrid>
      <w:tr w14:paraId="2972B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AA3A2A5">
            <w:pPr>
              <w:spacing w:line="340" w:lineRule="exact"/>
              <w:jc w:val="center"/>
              <w:rPr>
                <w:rFonts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课题名称</w:t>
            </w:r>
          </w:p>
        </w:tc>
        <w:tc>
          <w:tcPr>
            <w:tcW w:w="7281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FF6F94D">
            <w:pPr>
              <w:spacing w:line="34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464CD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00" w:type="dxa"/>
            <w:shd w:val="clear" w:color="auto" w:fill="auto"/>
            <w:vAlign w:val="center"/>
          </w:tcPr>
          <w:p w14:paraId="6CF7A1C0">
            <w:pPr>
              <w:spacing w:line="340" w:lineRule="exact"/>
              <w:jc w:val="center"/>
              <w:rPr>
                <w:rFonts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参研单位</w:t>
            </w:r>
          </w:p>
        </w:tc>
        <w:tc>
          <w:tcPr>
            <w:tcW w:w="7281" w:type="dxa"/>
            <w:gridSpan w:val="5"/>
            <w:shd w:val="clear" w:color="auto" w:fill="auto"/>
            <w:vAlign w:val="center"/>
          </w:tcPr>
          <w:p w14:paraId="7B9480CA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4C594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8" w:hRule="atLeast"/>
          <w:jc w:val="center"/>
        </w:trPr>
        <w:tc>
          <w:tcPr>
            <w:tcW w:w="2100" w:type="dxa"/>
            <w:shd w:val="clear" w:color="auto" w:fill="auto"/>
            <w:vAlign w:val="center"/>
          </w:tcPr>
          <w:p w14:paraId="0C966099">
            <w:pPr>
              <w:spacing w:line="340" w:lineRule="exact"/>
              <w:jc w:val="center"/>
              <w:rPr>
                <w:rFonts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参研单位简介、科研成果、编制过标准经验、与本标准相关工作介绍</w:t>
            </w:r>
          </w:p>
        </w:tc>
        <w:tc>
          <w:tcPr>
            <w:tcW w:w="7281" w:type="dxa"/>
            <w:gridSpan w:val="5"/>
            <w:shd w:val="clear" w:color="auto" w:fill="auto"/>
            <w:vAlign w:val="center"/>
          </w:tcPr>
          <w:p w14:paraId="3D9B6B5B">
            <w:pPr>
              <w:pStyle w:val="15"/>
              <w:spacing w:line="34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36B07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00" w:type="dxa"/>
            <w:shd w:val="clear" w:color="auto" w:fill="auto"/>
            <w:vAlign w:val="center"/>
          </w:tcPr>
          <w:p w14:paraId="4ADE8A77">
            <w:pPr>
              <w:spacing w:line="340" w:lineRule="exact"/>
              <w:jc w:val="center"/>
              <w:rPr>
                <w:rFonts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参研人员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1804DCB8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（姓名）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3DE100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学历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B0683A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69C50C48">
            <w:pPr>
              <w:spacing w:line="340" w:lineRule="exact"/>
              <w:jc w:val="center"/>
              <w:rPr>
                <w:rFonts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手机号码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7E7AC0EA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264A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00" w:type="dxa"/>
            <w:shd w:val="clear" w:color="auto" w:fill="auto"/>
            <w:vAlign w:val="center"/>
          </w:tcPr>
          <w:p w14:paraId="34DE948C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执业资格</w:t>
            </w:r>
          </w:p>
        </w:tc>
        <w:tc>
          <w:tcPr>
            <w:tcW w:w="4293" w:type="dxa"/>
            <w:gridSpan w:val="3"/>
            <w:shd w:val="clear" w:color="auto" w:fill="auto"/>
            <w:vAlign w:val="center"/>
          </w:tcPr>
          <w:p w14:paraId="22EA1BD3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32D89778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职称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5FC75C0D">
            <w:pPr>
              <w:spacing w:line="340" w:lineRule="exact"/>
              <w:jc w:val="center"/>
              <w:rPr>
                <w:rFonts w:ascii="仿宋" w:hAnsi="仿宋" w:eastAsia="仿宋" w:cs="宋体"/>
                <w:bCs/>
                <w:sz w:val="28"/>
                <w:szCs w:val="28"/>
              </w:rPr>
            </w:pPr>
          </w:p>
        </w:tc>
      </w:tr>
      <w:tr w14:paraId="12043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00" w:type="dxa"/>
            <w:shd w:val="clear" w:color="auto" w:fill="auto"/>
            <w:vAlign w:val="center"/>
          </w:tcPr>
          <w:p w14:paraId="02E69B56">
            <w:pPr>
              <w:spacing w:line="340" w:lineRule="exact"/>
              <w:jc w:val="center"/>
              <w:rPr>
                <w:rFonts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专业特长</w:t>
            </w:r>
          </w:p>
        </w:tc>
        <w:tc>
          <w:tcPr>
            <w:tcW w:w="7281" w:type="dxa"/>
            <w:gridSpan w:val="5"/>
            <w:shd w:val="clear" w:color="auto" w:fill="auto"/>
          </w:tcPr>
          <w:p w14:paraId="4E269A72">
            <w:pPr>
              <w:spacing w:line="340" w:lineRule="exact"/>
              <w:jc w:val="center"/>
              <w:rPr>
                <w:rFonts w:ascii="仿宋" w:hAnsi="仿宋" w:eastAsia="仿宋" w:cs="宋体"/>
                <w:bCs/>
                <w:sz w:val="28"/>
                <w:szCs w:val="28"/>
              </w:rPr>
            </w:pPr>
          </w:p>
        </w:tc>
      </w:tr>
      <w:tr w14:paraId="2AA16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9" w:hRule="atLeast"/>
          <w:jc w:val="center"/>
        </w:trPr>
        <w:tc>
          <w:tcPr>
            <w:tcW w:w="2100" w:type="dxa"/>
            <w:shd w:val="clear" w:color="auto" w:fill="auto"/>
            <w:vAlign w:val="center"/>
          </w:tcPr>
          <w:p w14:paraId="059E8F74">
            <w:pPr>
              <w:spacing w:line="340" w:lineRule="exact"/>
              <w:jc w:val="center"/>
              <w:rPr>
                <w:rFonts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个人简历</w:t>
            </w:r>
          </w:p>
        </w:tc>
        <w:tc>
          <w:tcPr>
            <w:tcW w:w="7281" w:type="dxa"/>
            <w:gridSpan w:val="5"/>
            <w:shd w:val="clear" w:color="auto" w:fill="auto"/>
          </w:tcPr>
          <w:p w14:paraId="055262A0">
            <w:pPr>
              <w:spacing w:line="340" w:lineRule="exact"/>
              <w:jc w:val="center"/>
              <w:rPr>
                <w:rFonts w:ascii="仿宋" w:hAnsi="仿宋" w:eastAsia="仿宋" w:cs="宋体"/>
                <w:bCs/>
                <w:sz w:val="28"/>
                <w:szCs w:val="28"/>
              </w:rPr>
            </w:pPr>
          </w:p>
        </w:tc>
      </w:tr>
      <w:tr w14:paraId="46517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  <w:jc w:val="center"/>
        </w:trPr>
        <w:tc>
          <w:tcPr>
            <w:tcW w:w="2100" w:type="dxa"/>
            <w:shd w:val="clear" w:color="auto" w:fill="auto"/>
            <w:vAlign w:val="center"/>
          </w:tcPr>
          <w:p w14:paraId="24209723">
            <w:pPr>
              <w:spacing w:line="340" w:lineRule="exact"/>
              <w:jc w:val="center"/>
              <w:rPr>
                <w:rFonts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科研成果、编制过标准经验、与本标准相关工作介绍</w:t>
            </w:r>
          </w:p>
        </w:tc>
        <w:tc>
          <w:tcPr>
            <w:tcW w:w="7281" w:type="dxa"/>
            <w:gridSpan w:val="5"/>
            <w:shd w:val="clear" w:color="auto" w:fill="auto"/>
          </w:tcPr>
          <w:p w14:paraId="5C31B35A">
            <w:pPr>
              <w:pStyle w:val="15"/>
              <w:spacing w:line="340" w:lineRule="exact"/>
              <w:rPr>
                <w:rFonts w:ascii="仿宋" w:hAnsi="仿宋" w:eastAsia="仿宋" w:cs="宋体"/>
                <w:bCs/>
                <w:sz w:val="28"/>
                <w:szCs w:val="28"/>
              </w:rPr>
            </w:pPr>
          </w:p>
        </w:tc>
      </w:tr>
      <w:tr w14:paraId="41001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51D76">
            <w:pPr>
              <w:spacing w:line="340" w:lineRule="exact"/>
              <w:jc w:val="center"/>
              <w:rPr>
                <w:rFonts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参研单位</w:t>
            </w:r>
          </w:p>
          <w:p w14:paraId="679D2734">
            <w:pPr>
              <w:spacing w:line="340" w:lineRule="exact"/>
              <w:jc w:val="center"/>
              <w:rPr>
                <w:rFonts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意见</w:t>
            </w:r>
          </w:p>
        </w:tc>
        <w:tc>
          <w:tcPr>
            <w:tcW w:w="7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C877D4">
            <w:pPr>
              <w:spacing w:line="340" w:lineRule="exact"/>
              <w:jc w:val="right"/>
              <w:rPr>
                <w:rFonts w:ascii="仿宋" w:hAnsi="仿宋" w:eastAsia="仿宋" w:cs="宋体"/>
                <w:bCs/>
                <w:sz w:val="28"/>
                <w:szCs w:val="28"/>
              </w:rPr>
            </w:pPr>
          </w:p>
          <w:p w14:paraId="00CB1E3A">
            <w:pPr>
              <w:spacing w:line="340" w:lineRule="exact"/>
              <w:jc w:val="right"/>
              <w:rPr>
                <w:rFonts w:ascii="仿宋" w:hAnsi="仿宋" w:eastAsia="仿宋" w:cs="宋体"/>
                <w:bCs/>
                <w:sz w:val="28"/>
                <w:szCs w:val="28"/>
              </w:rPr>
            </w:pPr>
          </w:p>
          <w:p w14:paraId="6FA74E2E">
            <w:pPr>
              <w:spacing w:line="340" w:lineRule="exact"/>
              <w:jc w:val="right"/>
              <w:rPr>
                <w:rFonts w:ascii="仿宋" w:hAnsi="仿宋" w:eastAsia="仿宋" w:cs="宋体"/>
                <w:bCs/>
                <w:sz w:val="28"/>
                <w:szCs w:val="28"/>
              </w:rPr>
            </w:pPr>
          </w:p>
          <w:p w14:paraId="6D9C73A7">
            <w:pPr>
              <w:spacing w:line="340" w:lineRule="exact"/>
              <w:jc w:val="right"/>
              <w:rPr>
                <w:rFonts w:ascii="仿宋" w:hAnsi="仿宋" w:eastAsia="仿宋" w:cs="宋体"/>
                <w:bCs/>
                <w:sz w:val="28"/>
                <w:szCs w:val="28"/>
              </w:rPr>
            </w:pPr>
          </w:p>
          <w:p w14:paraId="18433FDE">
            <w:pPr>
              <w:spacing w:line="340" w:lineRule="exact"/>
              <w:jc w:val="right"/>
              <w:rPr>
                <w:rFonts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参研单位（盖章）</w:t>
            </w:r>
          </w:p>
          <w:p w14:paraId="30F754D0">
            <w:pPr>
              <w:spacing w:line="340" w:lineRule="exact"/>
              <w:jc w:val="right"/>
              <w:rPr>
                <w:rFonts w:ascii="仿宋" w:hAnsi="仿宋" w:eastAsia="仿宋" w:cs="宋体"/>
                <w:bCs/>
                <w:sz w:val="28"/>
                <w:szCs w:val="28"/>
              </w:rPr>
            </w:pPr>
          </w:p>
          <w:p w14:paraId="37BB3B6A">
            <w:pPr>
              <w:spacing w:line="340" w:lineRule="exact"/>
              <w:jc w:val="right"/>
              <w:rPr>
                <w:rFonts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年  月  日</w:t>
            </w:r>
          </w:p>
        </w:tc>
      </w:tr>
      <w:tr w14:paraId="18895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47E30">
            <w:pPr>
              <w:spacing w:line="340" w:lineRule="exact"/>
              <w:jc w:val="center"/>
              <w:rPr>
                <w:rFonts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福建省工程</w:t>
            </w:r>
          </w:p>
          <w:p w14:paraId="122F40DD">
            <w:pPr>
              <w:spacing w:line="340" w:lineRule="exact"/>
              <w:jc w:val="center"/>
              <w:rPr>
                <w:rFonts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监理与项目</w:t>
            </w:r>
          </w:p>
          <w:p w14:paraId="7DDC956A">
            <w:pPr>
              <w:spacing w:line="340" w:lineRule="exact"/>
              <w:jc w:val="center"/>
              <w:rPr>
                <w:rFonts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管理协会</w:t>
            </w:r>
          </w:p>
          <w:p w14:paraId="55A7A011">
            <w:pPr>
              <w:spacing w:line="340" w:lineRule="exact"/>
              <w:jc w:val="center"/>
              <w:rPr>
                <w:rFonts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意见</w:t>
            </w:r>
          </w:p>
        </w:tc>
        <w:tc>
          <w:tcPr>
            <w:tcW w:w="7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0923D4">
            <w:pPr>
              <w:spacing w:line="340" w:lineRule="exact"/>
              <w:jc w:val="right"/>
              <w:rPr>
                <w:rFonts w:ascii="仿宋" w:hAnsi="仿宋" w:eastAsia="仿宋" w:cs="宋体"/>
                <w:bCs/>
                <w:sz w:val="28"/>
                <w:szCs w:val="28"/>
              </w:rPr>
            </w:pPr>
          </w:p>
          <w:p w14:paraId="113DE976">
            <w:pPr>
              <w:spacing w:line="340" w:lineRule="exact"/>
              <w:jc w:val="right"/>
              <w:rPr>
                <w:rFonts w:ascii="仿宋" w:hAnsi="仿宋" w:eastAsia="仿宋" w:cs="宋体"/>
                <w:bCs/>
                <w:sz w:val="28"/>
                <w:szCs w:val="28"/>
              </w:rPr>
            </w:pPr>
          </w:p>
          <w:p w14:paraId="220F499C">
            <w:pPr>
              <w:spacing w:line="340" w:lineRule="exact"/>
              <w:jc w:val="right"/>
              <w:rPr>
                <w:rFonts w:ascii="仿宋" w:hAnsi="仿宋" w:eastAsia="仿宋" w:cs="宋体"/>
                <w:bCs/>
                <w:sz w:val="28"/>
                <w:szCs w:val="28"/>
              </w:rPr>
            </w:pPr>
          </w:p>
          <w:p w14:paraId="1497027F">
            <w:pPr>
              <w:spacing w:line="340" w:lineRule="exact"/>
              <w:jc w:val="right"/>
              <w:rPr>
                <w:rFonts w:ascii="仿宋" w:hAnsi="仿宋" w:eastAsia="仿宋" w:cs="宋体"/>
                <w:bCs/>
                <w:sz w:val="28"/>
                <w:szCs w:val="28"/>
              </w:rPr>
            </w:pPr>
          </w:p>
          <w:p w14:paraId="0C0DC6AB">
            <w:pPr>
              <w:spacing w:line="340" w:lineRule="exact"/>
              <w:jc w:val="right"/>
              <w:rPr>
                <w:rFonts w:ascii="仿宋" w:hAnsi="仿宋" w:eastAsia="仿宋" w:cs="宋体"/>
                <w:bCs/>
                <w:sz w:val="28"/>
                <w:szCs w:val="28"/>
              </w:rPr>
            </w:pPr>
          </w:p>
          <w:p w14:paraId="5A4C7967">
            <w:pPr>
              <w:wordWrap w:val="0"/>
              <w:spacing w:line="340" w:lineRule="exact"/>
              <w:jc w:val="right"/>
              <w:rPr>
                <w:rFonts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 xml:space="preserve">年  月  日  </w:t>
            </w:r>
          </w:p>
        </w:tc>
      </w:tr>
    </w:tbl>
    <w:p w14:paraId="0CF76DF6">
      <w:pPr>
        <w:widowControl/>
        <w:spacing w:line="40" w:lineRule="exact"/>
        <w:jc w:val="left"/>
        <w:rPr>
          <w:rFonts w:ascii="仿宋" w:hAnsi="仿宋" w:eastAsia="仿宋" w:cs="Times New Roman"/>
          <w:sz w:val="32"/>
          <w:szCs w:val="32"/>
        </w:rPr>
      </w:pPr>
    </w:p>
    <w:p w14:paraId="4729EB32">
      <w:pPr>
        <w:spacing w:line="360" w:lineRule="exact"/>
        <w:rPr>
          <w:rFonts w:cs="方正仿宋_GB2312" w:asciiTheme="minorEastAsia" w:hAnsiTheme="minorEastAsia"/>
          <w:kern w:val="28"/>
          <w:sz w:val="24"/>
        </w:rPr>
      </w:pPr>
      <w:r>
        <w:rPr>
          <w:rFonts w:hint="eastAsia" w:cs="方正仿宋_GB2312" w:asciiTheme="minorEastAsia" w:hAnsiTheme="minorEastAsia"/>
          <w:kern w:val="28"/>
          <w:sz w:val="24"/>
        </w:rPr>
        <w:t>备注：</w:t>
      </w:r>
    </w:p>
    <w:p w14:paraId="1EBC81E9">
      <w:pPr>
        <w:spacing w:line="360" w:lineRule="exact"/>
        <w:ind w:firstLine="480" w:firstLineChars="200"/>
        <w:rPr>
          <w:rFonts w:cs="方正仿宋_GB2312" w:asciiTheme="minorEastAsia" w:hAnsiTheme="minorEastAsia"/>
          <w:kern w:val="28"/>
          <w:sz w:val="24"/>
        </w:rPr>
      </w:pPr>
      <w:r>
        <w:rPr>
          <w:rFonts w:hint="eastAsia" w:cs="方正仿宋_GB2312" w:asciiTheme="minorEastAsia" w:hAnsiTheme="minorEastAsia"/>
          <w:kern w:val="28"/>
          <w:sz w:val="24"/>
        </w:rPr>
        <w:t>1.此表需附申请单位法人营业执照副本扫描件，参研单位科研成果或编制过标准扫描件，参研人员身份证、职称证、编制过标准或科研成果及其它业绩资料相关证明材料复印件，加盖单位公章；</w:t>
      </w:r>
    </w:p>
    <w:p w14:paraId="50F6650B">
      <w:pPr>
        <w:pStyle w:val="6"/>
        <w:spacing w:before="0" w:beforeAutospacing="0" w:after="0" w:afterAutospacing="0" w:line="360" w:lineRule="exact"/>
        <w:ind w:firstLine="520"/>
        <w:rPr>
          <w:rFonts w:ascii="仿宋" w:hAnsi="仿宋" w:eastAsia="仿宋"/>
          <w:sz w:val="32"/>
          <w:szCs w:val="32"/>
        </w:rPr>
      </w:pPr>
      <w:r>
        <w:rPr>
          <w:rFonts w:hint="eastAsia" w:cs="方正仿宋_GB2312" w:asciiTheme="minorEastAsia" w:hAnsiTheme="minorEastAsia" w:eastAsiaTheme="minorEastAsia"/>
          <w:kern w:val="28"/>
        </w:rPr>
        <w:t>2.所有证明材料按顺序装订，与本表一并报送。</w:t>
      </w: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8047455"/>
      <w:docPartObj>
        <w:docPartGallery w:val="AutoText"/>
      </w:docPartObj>
    </w:sdtPr>
    <w:sdtContent>
      <w:p w14:paraId="5990F7EB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18C0939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7A3"/>
    <w:rsid w:val="000708BF"/>
    <w:rsid w:val="000E29FB"/>
    <w:rsid w:val="000F2575"/>
    <w:rsid w:val="001A3D01"/>
    <w:rsid w:val="001A48BD"/>
    <w:rsid w:val="00223903"/>
    <w:rsid w:val="00225AA2"/>
    <w:rsid w:val="00230959"/>
    <w:rsid w:val="0024303C"/>
    <w:rsid w:val="0026639A"/>
    <w:rsid w:val="00293223"/>
    <w:rsid w:val="002B5B60"/>
    <w:rsid w:val="002F48E8"/>
    <w:rsid w:val="00326BF9"/>
    <w:rsid w:val="00361AC1"/>
    <w:rsid w:val="0039523F"/>
    <w:rsid w:val="004243CF"/>
    <w:rsid w:val="00446E57"/>
    <w:rsid w:val="00475B7C"/>
    <w:rsid w:val="004A1EC6"/>
    <w:rsid w:val="004A3C55"/>
    <w:rsid w:val="004E28BB"/>
    <w:rsid w:val="004F212A"/>
    <w:rsid w:val="005674EA"/>
    <w:rsid w:val="00572BE6"/>
    <w:rsid w:val="00607A73"/>
    <w:rsid w:val="00651046"/>
    <w:rsid w:val="0066073C"/>
    <w:rsid w:val="00672796"/>
    <w:rsid w:val="00690D26"/>
    <w:rsid w:val="006B2043"/>
    <w:rsid w:val="006C24F0"/>
    <w:rsid w:val="007215C5"/>
    <w:rsid w:val="00867284"/>
    <w:rsid w:val="00873BFE"/>
    <w:rsid w:val="00885BCC"/>
    <w:rsid w:val="008E7D63"/>
    <w:rsid w:val="008F1608"/>
    <w:rsid w:val="00905A33"/>
    <w:rsid w:val="00934F4A"/>
    <w:rsid w:val="00943151"/>
    <w:rsid w:val="0098235B"/>
    <w:rsid w:val="00A22527"/>
    <w:rsid w:val="00A42710"/>
    <w:rsid w:val="00A57786"/>
    <w:rsid w:val="00A6235E"/>
    <w:rsid w:val="00A8327E"/>
    <w:rsid w:val="00A932BA"/>
    <w:rsid w:val="00AD5440"/>
    <w:rsid w:val="00B55328"/>
    <w:rsid w:val="00B557FE"/>
    <w:rsid w:val="00C31A09"/>
    <w:rsid w:val="00C347A3"/>
    <w:rsid w:val="00C92771"/>
    <w:rsid w:val="00C97F8A"/>
    <w:rsid w:val="00CC248A"/>
    <w:rsid w:val="00CD4B1A"/>
    <w:rsid w:val="00D035F0"/>
    <w:rsid w:val="00D3154A"/>
    <w:rsid w:val="00D55728"/>
    <w:rsid w:val="00D625DD"/>
    <w:rsid w:val="00D6686A"/>
    <w:rsid w:val="00D84339"/>
    <w:rsid w:val="145F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unhideWhenUsed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3">
    <w:name w:val="Plain Text"/>
    <w:basedOn w:val="1"/>
    <w:link w:val="16"/>
    <w:qFormat/>
    <w:uiPriority w:val="0"/>
    <w:rPr>
      <w:rFonts w:ascii="宋体" w:hAnsi="Courier New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 2"/>
    <w:basedOn w:val="2"/>
    <w:link w:val="14"/>
    <w:qFormat/>
    <w:uiPriority w:val="0"/>
    <w:pPr>
      <w:tabs>
        <w:tab w:val="left" w:pos="0"/>
        <w:tab w:val="left" w:pos="993"/>
        <w:tab w:val="left" w:pos="1134"/>
      </w:tabs>
      <w:spacing w:after="0"/>
      <w:ind w:left="0" w:leftChars="0" w:firstLine="420" w:firstLineChars="200"/>
    </w:p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5"/>
    <w:semiHidden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uiPriority w:val="99"/>
    <w:rPr>
      <w:sz w:val="18"/>
      <w:szCs w:val="18"/>
    </w:rPr>
  </w:style>
  <w:style w:type="character" w:customStyle="1" w:styleId="13">
    <w:name w:val="正文文本缩进 Char"/>
    <w:basedOn w:val="9"/>
    <w:link w:val="2"/>
    <w:uiPriority w:val="0"/>
    <w:rPr>
      <w:rFonts w:ascii="Calibri" w:hAnsi="Calibri" w:eastAsia="宋体" w:cs="Times New Roman"/>
    </w:rPr>
  </w:style>
  <w:style w:type="character" w:customStyle="1" w:styleId="14">
    <w:name w:val="正文首行缩进 2 Char"/>
    <w:basedOn w:val="13"/>
    <w:link w:val="7"/>
    <w:uiPriority w:val="0"/>
  </w:style>
  <w:style w:type="paragraph" w:customStyle="1" w:styleId="15">
    <w:name w:val="JRNC_Body"/>
    <w:basedOn w:val="1"/>
    <w:qFormat/>
    <w:uiPriority w:val="0"/>
    <w:pPr>
      <w:spacing w:before="240" w:after="240" w:line="360" w:lineRule="auto"/>
    </w:pPr>
    <w:rPr>
      <w:rFonts w:ascii="Calibri" w:hAnsi="Calibri" w:eastAsia="宋体" w:cs="Times New Roman"/>
      <w:szCs w:val="20"/>
    </w:rPr>
  </w:style>
  <w:style w:type="character" w:customStyle="1" w:styleId="16">
    <w:name w:val="纯文本 Char"/>
    <w:basedOn w:val="9"/>
    <w:link w:val="3"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CF17A-07AE-4C26-8908-4387EB9EB4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4138</Words>
  <Characters>4494</Characters>
  <Lines>34</Lines>
  <Paragraphs>9</Paragraphs>
  <TotalTime>142</TotalTime>
  <ScaleCrop>false</ScaleCrop>
  <LinksUpToDate>false</LinksUpToDate>
  <CharactersWithSpaces>4504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2026-04-03T02:02:00Z</dcterms:created>
  <dc:creator>lenovo</dc:creator>
  <cp:lastModifiedBy>福州市仙游商会</cp:lastModifiedBy>
  <dcterms:modified xsi:type="dcterms:W3CDTF">2026-04-09T02:30:11Z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eyJoZGlkIjoiMjUyODA0NjVkYWUwNjc3ODA4YTAwZDhiZGQzZGI5NDgiLCJ1c2VySWQiOiI2MzQ4NzE3MDEifQ==</vt:lpwstr>
  </property>
  <property fmtid="{D5CDD505-2E9C-101B-9397-08002B2CF9AE}" pid="3" name="KSOProductBuildVer">
    <vt:lpwstr>2052-12.1.0.25835</vt:lpwstr>
  </property>
  <property fmtid="{D5CDD505-2E9C-101B-9397-08002B2CF9AE}" pid="4" name="ICV">
    <vt:lpwstr>EC0476E1C5504F879EBBF6DBBEC06401_13</vt:lpwstr>
  </property>
</Properties>
</file>